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6EE" w:rsidRDefault="009F76EE" w:rsidP="009F76EE">
      <w:pPr>
        <w:spacing w:line="480" w:lineRule="auto"/>
        <w:jc w:val="center"/>
        <w:rPr>
          <w:rFonts w:eastAsia="Garamond" w:cs="Times New Roman"/>
          <w:b/>
          <w:color w:val="262626"/>
          <w:szCs w:val="24"/>
        </w:rPr>
      </w:pPr>
      <w:r w:rsidRPr="009F76EE">
        <w:rPr>
          <w:rFonts w:eastAsia="Garamond" w:cs="Times New Roman"/>
          <w:b/>
          <w:color w:val="262626"/>
          <w:szCs w:val="24"/>
        </w:rPr>
        <w:t>Milestone 2 Pre-lab Assignment</w:t>
      </w:r>
    </w:p>
    <w:p w:rsidR="00C03965" w:rsidRDefault="00C03965" w:rsidP="00C03965">
      <w:pPr>
        <w:spacing w:line="480" w:lineRule="auto"/>
        <w:rPr>
          <w:rFonts w:eastAsia="Garamond" w:cs="Times New Roman"/>
          <w:color w:val="262626"/>
          <w:szCs w:val="24"/>
        </w:rPr>
      </w:pPr>
      <w:r>
        <w:rPr>
          <w:rFonts w:eastAsia="Garamond" w:cs="Times New Roman"/>
          <w:color w:val="262626"/>
          <w:szCs w:val="24"/>
        </w:rPr>
        <w:t>What should we use: peak heights or integrated peak areas for quantitative analysis of chromatograms?</w:t>
      </w:r>
    </w:p>
    <w:p w:rsidR="00C47040" w:rsidRPr="00C03965" w:rsidRDefault="00C47040" w:rsidP="00C03965">
      <w:pPr>
        <w:spacing w:line="480" w:lineRule="auto"/>
        <w:rPr>
          <w:rFonts w:eastAsia="Garamond" w:cs="Times New Roman"/>
          <w:color w:val="262626"/>
          <w:szCs w:val="24"/>
        </w:rPr>
      </w:pPr>
      <w:r>
        <w:rPr>
          <w:rFonts w:eastAsia="Garamond" w:cs="Times New Roman"/>
          <w:color w:val="262626"/>
          <w:szCs w:val="24"/>
        </w:rPr>
        <w:t>Example: quantification of 2,3- dimethyl pyrazine</w:t>
      </w:r>
      <w:bookmarkStart w:id="0" w:name="_GoBack"/>
      <w:bookmarkEnd w:id="0"/>
      <w:r>
        <w:rPr>
          <w:rFonts w:eastAsia="Garamond" w:cs="Times New Roman"/>
          <w:color w:val="262626"/>
          <w:szCs w:val="24"/>
        </w:rPr>
        <w:t xml:space="preserve"> standards</w:t>
      </w:r>
    </w:p>
    <w:p w:rsidR="009F76EE" w:rsidRDefault="009F76EE">
      <w:r w:rsidRPr="009F76EE">
        <w:drawing>
          <wp:inline distT="0" distB="0" distL="0" distR="0">
            <wp:extent cx="5314950" cy="21050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76EE" w:rsidRPr="009F76EE" w:rsidRDefault="009F76EE" w:rsidP="009F76EE"/>
    <w:p w:rsidR="009F76EE" w:rsidRDefault="009F76EE" w:rsidP="009F76EE">
      <w:r>
        <w:rPr>
          <w:noProof/>
        </w:rPr>
        <w:drawing>
          <wp:inline distT="0" distB="0" distL="0" distR="0" wp14:anchorId="7C1AC87F" wp14:editId="2A8A98F7">
            <wp:extent cx="4584700" cy="2755900"/>
            <wp:effectExtent l="0" t="0" r="635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F76EE" w:rsidRDefault="009F76EE" w:rsidP="009F76EE"/>
    <w:p w:rsidR="00880B2E" w:rsidRDefault="009F76EE" w:rsidP="009F76EE">
      <w:r w:rsidRPr="009F76EE">
        <w:lastRenderedPageBreak/>
        <w:drawing>
          <wp:inline distT="0" distB="0" distL="0" distR="0">
            <wp:extent cx="5372100" cy="21050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1BB6" w:rsidRDefault="009F76EE" w:rsidP="009F76EE">
      <w:r>
        <w:rPr>
          <w:noProof/>
        </w:rPr>
        <w:drawing>
          <wp:inline distT="0" distB="0" distL="0" distR="0" wp14:anchorId="63235EB5">
            <wp:extent cx="4584700" cy="2755900"/>
            <wp:effectExtent l="0" t="0" r="635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61BB6" w:rsidRPr="00561BB6" w:rsidRDefault="00561BB6" w:rsidP="00561BB6"/>
    <w:p w:rsidR="00561BB6" w:rsidRDefault="00561BB6" w:rsidP="00561BB6"/>
    <w:p w:rsidR="009F76EE" w:rsidRDefault="00561BB6" w:rsidP="00561BB6">
      <w:pPr>
        <w:rPr>
          <w:rFonts w:eastAsiaTheme="minorEastAsia"/>
        </w:rPr>
      </w:pPr>
      <w:r>
        <w:t>Concentration (</w:t>
      </w:r>
      <w:r>
        <w:rPr>
          <w:rFonts w:cs="Times New Roman"/>
        </w:rPr>
        <w:t>±</w:t>
      </w:r>
      <w:r>
        <w:t xml:space="preserve"> uncertainty)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detector response</m:t>
                </m:r>
              </m:e>
            </m:d>
            <m:r>
              <w:rPr>
                <w:rFonts w:ascii="Cambria Math" w:hAnsi="Cambria Math"/>
              </w:rPr>
              <m:t>-(y intercept ±uncertainty</m:t>
            </m:r>
          </m:num>
          <m:den>
            <m:r>
              <w:rPr>
                <w:rFonts w:ascii="Cambria Math" w:hAnsi="Cambria Math"/>
              </w:rPr>
              <m:t>slope ±uncertainty</m:t>
            </m:r>
          </m:den>
        </m:f>
      </m:oMath>
    </w:p>
    <w:p w:rsidR="00561BB6" w:rsidRDefault="00561BB6" w:rsidP="00561BB6">
      <w:pPr>
        <w:rPr>
          <w:rFonts w:cs="Times New Roman"/>
          <w:szCs w:val="24"/>
        </w:rPr>
      </w:pPr>
      <w:r w:rsidRPr="00561BB6">
        <w:rPr>
          <w:rFonts w:eastAsia="Garamond" w:cs="Times New Roman"/>
          <w:szCs w:val="24"/>
        </w:rPr>
        <w:t>Peak area = 31.70 counts min-1</w:t>
      </w:r>
    </w:p>
    <w:p w:rsidR="00561BB6" w:rsidRDefault="00561BB6" w:rsidP="00561BB6">
      <w:pPr>
        <w:rPr>
          <w:rFonts w:eastAsiaTheme="minorEastAsia"/>
        </w:rPr>
      </w:pPr>
      <w:r>
        <w:t>Concentration + uncertainty</w:t>
      </w:r>
      <w:r>
        <w:t xml:space="preserve">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Garamond" w:hAnsi="Cambria Math" w:cs="Times New Roman"/>
                    <w:szCs w:val="24"/>
                  </w:rPr>
                  <m:t>31.70</m:t>
                </m:r>
              </m:e>
            </m:d>
            <m:r>
              <w:rPr>
                <w:rFonts w:ascii="Cambria Math" w:hAnsi="Cambria Math"/>
              </w:rPr>
              <m:t>-(</m:t>
            </m:r>
            <m:r>
              <w:rPr>
                <w:rFonts w:ascii="Cambria Math" w:hAnsi="Cambria Math"/>
              </w:rPr>
              <m:t>-2.37934+ 0.997381)</m:t>
            </m:r>
          </m:num>
          <m:den>
            <m:r>
              <w:rPr>
                <w:rFonts w:ascii="Cambria Math" w:hAnsi="Cambria Math"/>
              </w:rPr>
              <m:t>0.618955758</m:t>
            </m:r>
            <m:r>
              <w:rPr>
                <w:rFonts w:ascii="Cambria Math" w:hAnsi="Cambria Math"/>
              </w:rPr>
              <m:t>+0.011790099</m:t>
            </m:r>
          </m:den>
        </m:f>
      </m:oMath>
    </w:p>
    <w:p w:rsidR="00561BB6" w:rsidRDefault="00561BB6" w:rsidP="00561BB6">
      <w:pPr>
        <w:rPr>
          <w:rFonts w:eastAsiaTheme="minorEastAsia"/>
        </w:rPr>
      </w:pPr>
      <w:r>
        <w:rPr>
          <w:rFonts w:eastAsiaTheme="minorEastAsia"/>
        </w:rPr>
        <w:t xml:space="preserve">= </w:t>
      </w:r>
      <w:r w:rsidR="00AE18A9">
        <w:rPr>
          <w:rFonts w:eastAsiaTheme="minorEastAsia"/>
        </w:rPr>
        <w:t>52.449 uM</w:t>
      </w:r>
    </w:p>
    <w:p w:rsidR="00AE18A9" w:rsidRDefault="00AE18A9" w:rsidP="00AE18A9">
      <w:pPr>
        <w:rPr>
          <w:rFonts w:eastAsiaTheme="minorEastAsia"/>
        </w:rPr>
      </w:pPr>
      <w:r>
        <w:t>Concentration -</w:t>
      </w:r>
      <w:r>
        <w:t xml:space="preserve"> uncertainty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Garamond" w:hAnsi="Cambria Math" w:cs="Times New Roman"/>
                    <w:szCs w:val="24"/>
                  </w:rPr>
                  <m:t>31.70</m:t>
                </m:r>
              </m:e>
            </m:d>
            <m:r>
              <w:rPr>
                <w:rFonts w:ascii="Cambria Math" w:hAnsi="Cambria Math"/>
              </w:rPr>
              <m:t>-(-2.37934</m:t>
            </m:r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0.997381)</m:t>
            </m:r>
          </m:num>
          <m:den>
            <m:r>
              <w:rPr>
                <w:rFonts w:ascii="Cambria Math" w:hAnsi="Cambria Math"/>
              </w:rPr>
              <m:t>0.618955758</m:t>
            </m:r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0.011790099</m:t>
            </m:r>
          </m:den>
        </m:f>
      </m:oMath>
    </w:p>
    <w:p w:rsidR="00AE18A9" w:rsidRDefault="00AE18A9" w:rsidP="00AE18A9">
      <w:pPr>
        <w:rPr>
          <w:rFonts w:eastAsiaTheme="minorEastAsia"/>
        </w:rPr>
      </w:pPr>
      <w:r>
        <w:rPr>
          <w:rFonts w:eastAsiaTheme="minorEastAsia"/>
        </w:rPr>
        <w:t>= 57.771 uM</w:t>
      </w:r>
    </w:p>
    <w:p w:rsidR="008256F5" w:rsidRDefault="008256F5" w:rsidP="00AE18A9">
      <w:pPr>
        <w:rPr>
          <w:rFonts w:eastAsia="Garamond" w:cs="Times New Roman"/>
          <w:szCs w:val="24"/>
        </w:rPr>
      </w:pPr>
      <w:r w:rsidRPr="008256F5">
        <w:rPr>
          <w:rFonts w:eastAsia="Garamond" w:cs="Times New Roman"/>
          <w:szCs w:val="24"/>
        </w:rPr>
        <w:t>Peak height = 4452 counts</w:t>
      </w:r>
    </w:p>
    <w:p w:rsidR="008256F5" w:rsidRDefault="008256F5" w:rsidP="008256F5">
      <w:pPr>
        <w:rPr>
          <w:rFonts w:eastAsiaTheme="minorEastAsia"/>
        </w:rPr>
      </w:pPr>
      <w:r>
        <w:lastRenderedPageBreak/>
        <w:t xml:space="preserve">Concentration + uncertainty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Garamond" w:hAnsi="Cambria Math" w:cs="Times New Roman"/>
                    <w:szCs w:val="24"/>
                  </w:rPr>
                  <m:t>4452</m:t>
                </m:r>
              </m:e>
            </m:d>
            <m:r>
              <w:rPr>
                <w:rFonts w:ascii="Cambria Math" w:hAnsi="Cambria Math"/>
              </w:rPr>
              <m:t>-(</m:t>
            </m:r>
            <m:r>
              <w:rPr>
                <w:rFonts w:ascii="Cambria Math" w:hAnsi="Cambria Math"/>
              </w:rPr>
              <m:t>-288.261+514.4401</m:t>
            </m:r>
            <m:r>
              <w:rPr>
                <w:rFonts w:ascii="Cambria Math" w:hAnsi="Cambria Math"/>
              </w:rPr>
              <m:t>)</m:t>
            </m:r>
          </m:num>
          <m:den>
            <m:r>
              <w:rPr>
                <w:rFonts w:ascii="Cambria Math" w:hAnsi="Cambria Math"/>
              </w:rPr>
              <m:t>86.18715683+6.081223277</m:t>
            </m:r>
          </m:den>
        </m:f>
      </m:oMath>
    </w:p>
    <w:p w:rsidR="00561BB6" w:rsidRDefault="00376875" w:rsidP="00561BB6">
      <w:pPr>
        <w:rPr>
          <w:rFonts w:eastAsiaTheme="minorEastAsia" w:cs="Times New Roman"/>
          <w:szCs w:val="24"/>
        </w:rPr>
      </w:pPr>
      <w:r>
        <w:rPr>
          <w:rFonts w:eastAsiaTheme="minorEastAsia" w:cs="Times New Roman"/>
          <w:szCs w:val="24"/>
        </w:rPr>
        <w:t>= 45.799 uM</w:t>
      </w:r>
    </w:p>
    <w:p w:rsidR="00376875" w:rsidRDefault="00376875" w:rsidP="00376875">
      <w:pPr>
        <w:rPr>
          <w:rFonts w:eastAsiaTheme="minorEastAsia"/>
        </w:rPr>
      </w:pPr>
      <w:r>
        <w:t xml:space="preserve">Concentration - </w:t>
      </w:r>
      <w:r>
        <w:t xml:space="preserve">uncertainty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="Garamond" w:hAnsi="Cambria Math" w:cs="Times New Roman"/>
                    <w:szCs w:val="24"/>
                  </w:rPr>
                  <m:t>4452</m:t>
                </m:r>
              </m:e>
            </m:d>
            <m:r>
              <w:rPr>
                <w:rFonts w:ascii="Cambria Math" w:hAnsi="Cambria Math"/>
              </w:rPr>
              <m:t>-(-288.261</m:t>
            </m:r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514.4401)</m:t>
            </m:r>
          </m:num>
          <m:den>
            <m:r>
              <w:rPr>
                <w:rFonts w:ascii="Cambria Math" w:hAnsi="Cambria Math"/>
              </w:rPr>
              <m:t>86.18715683</m:t>
            </m:r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6.081223277</m:t>
            </m:r>
          </m:den>
        </m:f>
      </m:oMath>
    </w:p>
    <w:p w:rsidR="00376875" w:rsidRDefault="00376875" w:rsidP="00561BB6">
      <w:pPr>
        <w:rPr>
          <w:rFonts w:cs="Times New Roman"/>
          <w:szCs w:val="24"/>
        </w:rPr>
      </w:pPr>
      <w:r>
        <w:rPr>
          <w:rFonts w:cs="Times New Roman"/>
          <w:szCs w:val="24"/>
        </w:rPr>
        <w:t>= 45.556 uM</w:t>
      </w:r>
    </w:p>
    <w:p w:rsidR="009A017C" w:rsidRPr="00561BB6" w:rsidRDefault="009A017C" w:rsidP="00761DD7">
      <w:p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Quantifying the concentration of the analyte using the peak height gives a value that is not significantly differently when the uncertainty is added or subtracted indicating it is the more reliable way of quantifying the analyte. Using peak area has a higher uncertainty thereby making the values to be significantly different when the uncertainty is added or subtracted from the concentration of the analyte</w:t>
      </w:r>
      <w:r w:rsidR="00761DD7">
        <w:rPr>
          <w:rFonts w:cs="Times New Roman"/>
          <w:szCs w:val="24"/>
        </w:rPr>
        <w:t>.</w:t>
      </w:r>
    </w:p>
    <w:sectPr w:rsidR="009A017C" w:rsidRPr="00561BB6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2584" w:rsidRDefault="00D52584" w:rsidP="009F76EE">
      <w:pPr>
        <w:spacing w:after="0" w:line="240" w:lineRule="auto"/>
      </w:pPr>
      <w:r>
        <w:separator/>
      </w:r>
    </w:p>
  </w:endnote>
  <w:endnote w:type="continuationSeparator" w:id="0">
    <w:p w:rsidR="00D52584" w:rsidRDefault="00D52584" w:rsidP="009F7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2584" w:rsidRDefault="00D52584" w:rsidP="009F76EE">
      <w:pPr>
        <w:spacing w:after="0" w:line="240" w:lineRule="auto"/>
      </w:pPr>
      <w:r>
        <w:separator/>
      </w:r>
    </w:p>
  </w:footnote>
  <w:footnote w:type="continuationSeparator" w:id="0">
    <w:p w:rsidR="00D52584" w:rsidRDefault="00D52584" w:rsidP="009F7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85836592"/>
      <w:docPartObj>
        <w:docPartGallery w:val="Page Numbers (Top of Page)"/>
        <w:docPartUnique/>
      </w:docPartObj>
    </w:sdtPr>
    <w:sdtEndPr>
      <w:rPr>
        <w:noProof/>
      </w:rPr>
    </w:sdtEndPr>
    <w:sdtContent>
      <w:p w:rsidR="004D0137" w:rsidRDefault="004D013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704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D0137" w:rsidRDefault="004D01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6EE"/>
    <w:rsid w:val="001B12D0"/>
    <w:rsid w:val="00260E70"/>
    <w:rsid w:val="00376875"/>
    <w:rsid w:val="004D0137"/>
    <w:rsid w:val="00561BB6"/>
    <w:rsid w:val="00761DD7"/>
    <w:rsid w:val="008256F5"/>
    <w:rsid w:val="008846D0"/>
    <w:rsid w:val="009A017C"/>
    <w:rsid w:val="009F76EE"/>
    <w:rsid w:val="00AE18A9"/>
    <w:rsid w:val="00C03965"/>
    <w:rsid w:val="00C47040"/>
    <w:rsid w:val="00D52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FA7C8D-2432-443B-A1C6-F1EDDAC5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6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76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76EE"/>
  </w:style>
  <w:style w:type="paragraph" w:styleId="Footer">
    <w:name w:val="footer"/>
    <w:basedOn w:val="Normal"/>
    <w:link w:val="FooterChar"/>
    <w:uiPriority w:val="99"/>
    <w:unhideWhenUsed/>
    <w:rsid w:val="009F76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76EE"/>
  </w:style>
  <w:style w:type="character" w:styleId="PlaceholderText">
    <w:name w:val="Placeholder Text"/>
    <w:basedOn w:val="DefaultParagraphFont"/>
    <w:uiPriority w:val="99"/>
    <w:semiHidden/>
    <w:rsid w:val="00561BB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251"/>
    <w:rsid w:val="001527A1"/>
    <w:rsid w:val="00EF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F525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Benard Njane</dc:creator>
  <cp:keywords/>
  <dc:description/>
  <cp:lastModifiedBy>Benard Njane</cp:lastModifiedBy>
  <cp:revision>8</cp:revision>
  <dcterms:created xsi:type="dcterms:W3CDTF">2019-12-03T14:09:00Z</dcterms:created>
  <dcterms:modified xsi:type="dcterms:W3CDTF">2019-12-03T17:54:00Z</dcterms:modified>
</cp:coreProperties>
</file>